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F3" w:rsidRPr="00935EBA" w:rsidRDefault="007C4BF3" w:rsidP="007C4BF3">
      <w:pPr>
        <w:numPr>
          <w:ilvl w:val="0"/>
          <w:numId w:val="2"/>
        </w:numPr>
        <w:tabs>
          <w:tab w:val="clear" w:pos="720"/>
          <w:tab w:val="num" w:pos="360"/>
        </w:tabs>
        <w:spacing w:before="240"/>
        <w:ind w:left="357" w:hanging="357"/>
        <w:jc w:val="both"/>
        <w:rPr>
          <w:rFonts w:ascii="Arial" w:hAnsi="Arial" w:cs="Arial"/>
          <w:noProof/>
          <w:sz w:val="22"/>
          <w:szCs w:val="22"/>
        </w:rPr>
      </w:pPr>
      <w:bookmarkStart w:id="0" w:name="_GoBack"/>
      <w:bookmarkEnd w:id="0"/>
      <w:r w:rsidRPr="00935EBA">
        <w:rPr>
          <w:rFonts w:ascii="Arial" w:hAnsi="Arial" w:cs="Arial"/>
          <w:sz w:val="22"/>
          <w:szCs w:val="22"/>
          <w:lang w:val="en-GB"/>
        </w:rPr>
        <w:t xml:space="preserve">The </w:t>
      </w:r>
      <w:r w:rsidRPr="00935EBA">
        <w:rPr>
          <w:rFonts w:ascii="Arial" w:hAnsi="Arial" w:cs="Arial"/>
          <w:i/>
          <w:sz w:val="22"/>
          <w:szCs w:val="22"/>
          <w:lang w:val="en-GB"/>
        </w:rPr>
        <w:t>Major Sports Facility Act 2001</w:t>
      </w:r>
      <w:r w:rsidRPr="00935EBA">
        <w:rPr>
          <w:rFonts w:ascii="Arial" w:hAnsi="Arial" w:cs="Arial"/>
          <w:sz w:val="22"/>
          <w:szCs w:val="22"/>
          <w:lang w:val="en-GB"/>
        </w:rPr>
        <w:t xml:space="preserve"> governs the use of major stadiums in </w:t>
      </w:r>
      <w:smartTag w:uri="urn:schemas-microsoft-com:office:smarttags" w:element="place">
        <w:smartTag w:uri="urn:schemas-microsoft-com:office:smarttags" w:element="State">
          <w:r w:rsidRPr="00935EBA">
            <w:rPr>
              <w:rFonts w:ascii="Arial" w:hAnsi="Arial" w:cs="Arial"/>
              <w:sz w:val="22"/>
              <w:szCs w:val="22"/>
              <w:lang w:val="en-GB"/>
            </w:rPr>
            <w:t>Queensland</w:t>
          </w:r>
        </w:smartTag>
      </w:smartTag>
      <w:r w:rsidRPr="00935EBA">
        <w:rPr>
          <w:rFonts w:ascii="Arial" w:hAnsi="Arial" w:cs="Arial"/>
          <w:sz w:val="22"/>
          <w:szCs w:val="22"/>
          <w:lang w:val="en-GB"/>
        </w:rPr>
        <w:t xml:space="preserve"> including Suncorp Stadium. </w:t>
      </w:r>
      <w:r w:rsidRPr="00935EBA">
        <w:rPr>
          <w:rFonts w:ascii="Arial" w:hAnsi="Arial" w:cs="Arial"/>
          <w:i/>
          <w:sz w:val="22"/>
          <w:szCs w:val="22"/>
          <w:lang w:val="en-GB"/>
        </w:rPr>
        <w:t>Condition 42</w:t>
      </w:r>
      <w:r w:rsidRPr="00935EBA">
        <w:rPr>
          <w:rFonts w:ascii="Arial" w:hAnsi="Arial" w:cs="Arial"/>
          <w:sz w:val="22"/>
          <w:szCs w:val="22"/>
          <w:lang w:val="en-GB"/>
        </w:rPr>
        <w:t xml:space="preserve"> of the Suncorp Stadium Development Approval limits the number of sporting events at the stadium with crowds exceeding 25,000 to</w:t>
      </w:r>
      <w:r w:rsidR="00F1791E">
        <w:rPr>
          <w:rFonts w:ascii="Arial" w:hAnsi="Arial" w:cs="Arial"/>
          <w:sz w:val="22"/>
          <w:szCs w:val="22"/>
          <w:lang w:val="en-GB"/>
        </w:rPr>
        <w:t xml:space="preserve"> 24 </w:t>
      </w:r>
      <w:r w:rsidRPr="00935EBA">
        <w:rPr>
          <w:rFonts w:ascii="Arial" w:hAnsi="Arial" w:cs="Arial"/>
          <w:sz w:val="22"/>
          <w:szCs w:val="22"/>
          <w:lang w:val="en-GB"/>
        </w:rPr>
        <w:t>per annum.</w:t>
      </w:r>
    </w:p>
    <w:p w:rsidR="007C4BF3" w:rsidRPr="00935EBA" w:rsidRDefault="007C4BF3" w:rsidP="0099621E">
      <w:pPr>
        <w:numPr>
          <w:ilvl w:val="0"/>
          <w:numId w:val="2"/>
        </w:numPr>
        <w:tabs>
          <w:tab w:val="clear" w:pos="720"/>
          <w:tab w:val="num" w:pos="360"/>
        </w:tabs>
        <w:spacing w:before="240"/>
        <w:ind w:left="357" w:hanging="357"/>
        <w:jc w:val="both"/>
        <w:rPr>
          <w:rFonts w:ascii="Arial" w:hAnsi="Arial" w:cs="Arial"/>
          <w:noProof/>
          <w:sz w:val="22"/>
          <w:szCs w:val="22"/>
        </w:rPr>
      </w:pPr>
      <w:r w:rsidRPr="00935EBA">
        <w:rPr>
          <w:rFonts w:ascii="Arial" w:hAnsi="Arial" w:cs="Arial"/>
          <w:sz w:val="22"/>
          <w:szCs w:val="22"/>
        </w:rPr>
        <w:t>There have been 20 major sporting events (that is</w:t>
      </w:r>
      <w:r w:rsidR="00F1791E">
        <w:rPr>
          <w:rFonts w:ascii="Arial" w:hAnsi="Arial" w:cs="Arial"/>
          <w:sz w:val="22"/>
          <w:szCs w:val="22"/>
        </w:rPr>
        <w:t>,</w:t>
      </w:r>
      <w:r w:rsidRPr="00935EBA">
        <w:rPr>
          <w:rFonts w:ascii="Arial" w:hAnsi="Arial" w:cs="Arial"/>
          <w:sz w:val="22"/>
          <w:szCs w:val="22"/>
        </w:rPr>
        <w:t xml:space="preserve"> with crowds exceeding 25,000) at Suncorp Stadium as at August 2011. Unprecedented success by </w:t>
      </w:r>
      <w:smartTag w:uri="urn:schemas-microsoft-com:office:smarttags" w:element="place">
        <w:smartTag w:uri="urn:schemas-microsoft-com:office:smarttags" w:element="City">
          <w:r w:rsidRPr="00935EBA">
            <w:rPr>
              <w:rFonts w:ascii="Arial" w:hAnsi="Arial" w:cs="Arial"/>
              <w:sz w:val="22"/>
              <w:szCs w:val="22"/>
            </w:rPr>
            <w:t>Brisbane</w:t>
          </w:r>
        </w:smartTag>
      </w:smartTag>
      <w:r w:rsidRPr="00935EBA">
        <w:rPr>
          <w:rFonts w:ascii="Arial" w:hAnsi="Arial" w:cs="Arial"/>
          <w:sz w:val="22"/>
          <w:szCs w:val="22"/>
        </w:rPr>
        <w:t xml:space="preserve"> based professional sports such as the Brisbane Roar, Brisbane Broncos and the Queensland Reds, has meant that the current cap of 24 sporting events could be exceeded as early as September 2011.</w:t>
      </w:r>
    </w:p>
    <w:p w:rsidR="0037622C" w:rsidRPr="00935EBA" w:rsidRDefault="007C4BF3" w:rsidP="0099621E">
      <w:pPr>
        <w:numPr>
          <w:ilvl w:val="0"/>
          <w:numId w:val="2"/>
        </w:numPr>
        <w:tabs>
          <w:tab w:val="clear" w:pos="720"/>
          <w:tab w:val="num" w:pos="360"/>
        </w:tabs>
        <w:spacing w:before="240"/>
        <w:ind w:left="357" w:hanging="357"/>
        <w:jc w:val="both"/>
        <w:rPr>
          <w:rFonts w:ascii="Arial" w:hAnsi="Arial" w:cs="Arial"/>
          <w:noProof/>
          <w:sz w:val="22"/>
          <w:szCs w:val="22"/>
        </w:rPr>
      </w:pPr>
      <w:r w:rsidRPr="00935EBA">
        <w:rPr>
          <w:rFonts w:ascii="Arial" w:hAnsi="Arial" w:cs="Arial"/>
          <w:noProof/>
          <w:sz w:val="22"/>
          <w:szCs w:val="22"/>
        </w:rPr>
        <w:t>T</w:t>
      </w:r>
      <w:r w:rsidR="009B738A" w:rsidRPr="00935EBA">
        <w:rPr>
          <w:rFonts w:ascii="Arial" w:hAnsi="Arial" w:cs="Arial"/>
          <w:noProof/>
          <w:sz w:val="22"/>
          <w:szCs w:val="22"/>
        </w:rPr>
        <w:t xml:space="preserve">he </w:t>
      </w:r>
      <w:r w:rsidR="0037622C" w:rsidRPr="00935EBA">
        <w:rPr>
          <w:rFonts w:ascii="Arial" w:hAnsi="Arial" w:cs="Arial"/>
          <w:noProof/>
          <w:sz w:val="22"/>
          <w:szCs w:val="22"/>
        </w:rPr>
        <w:t>Major Sports Facilities</w:t>
      </w:r>
      <w:r w:rsidR="009B738A" w:rsidRPr="00935EBA">
        <w:rPr>
          <w:rFonts w:ascii="Arial" w:hAnsi="Arial" w:cs="Arial"/>
          <w:noProof/>
          <w:sz w:val="22"/>
          <w:szCs w:val="22"/>
        </w:rPr>
        <w:t xml:space="preserve"> Amendment Bill 2011 amends </w:t>
      </w:r>
      <w:r w:rsidR="005B6B38" w:rsidRPr="00935EBA">
        <w:rPr>
          <w:rFonts w:ascii="Arial" w:hAnsi="Arial" w:cs="Arial"/>
          <w:noProof/>
          <w:sz w:val="22"/>
          <w:szCs w:val="22"/>
        </w:rPr>
        <w:t xml:space="preserve">the Act </w:t>
      </w:r>
      <w:r w:rsidR="0037622C" w:rsidRPr="00935EBA">
        <w:rPr>
          <w:rFonts w:ascii="Arial" w:hAnsi="Arial" w:cs="Arial"/>
          <w:noProof/>
          <w:sz w:val="22"/>
          <w:szCs w:val="22"/>
        </w:rPr>
        <w:t xml:space="preserve">to put in place transitional arrangements for the 2011 calendar year to allow an increase in crowd size from 25,000 to 35,000 individuals for no more than 24 major sporting events at Suncorp Stadium. </w:t>
      </w:r>
    </w:p>
    <w:p w:rsidR="0037622C" w:rsidRPr="00935EBA" w:rsidRDefault="0037622C" w:rsidP="0037622C">
      <w:pPr>
        <w:numPr>
          <w:ilvl w:val="0"/>
          <w:numId w:val="2"/>
        </w:numPr>
        <w:tabs>
          <w:tab w:val="clear" w:pos="720"/>
          <w:tab w:val="num" w:pos="360"/>
        </w:tabs>
        <w:spacing w:before="240"/>
        <w:ind w:left="357" w:hanging="357"/>
        <w:jc w:val="both"/>
        <w:rPr>
          <w:rFonts w:ascii="Arial" w:hAnsi="Arial" w:cs="Arial"/>
          <w:noProof/>
          <w:sz w:val="22"/>
          <w:szCs w:val="22"/>
        </w:rPr>
      </w:pPr>
      <w:r w:rsidRPr="00935EBA">
        <w:rPr>
          <w:rFonts w:ascii="Arial" w:hAnsi="Arial" w:cs="Arial"/>
          <w:noProof/>
          <w:sz w:val="22"/>
          <w:szCs w:val="22"/>
        </w:rPr>
        <w:t xml:space="preserve">The Bill also amends the Act to provide that a regulation can be made to exceed the crowd size established in </w:t>
      </w:r>
      <w:r w:rsidRPr="00935EBA">
        <w:rPr>
          <w:rFonts w:ascii="Arial" w:hAnsi="Arial" w:cs="Arial"/>
          <w:i/>
          <w:noProof/>
          <w:sz w:val="22"/>
          <w:szCs w:val="22"/>
        </w:rPr>
        <w:t>Condition 42</w:t>
      </w:r>
      <w:r w:rsidRPr="00935EBA">
        <w:rPr>
          <w:rFonts w:ascii="Arial" w:hAnsi="Arial" w:cs="Arial"/>
          <w:noProof/>
          <w:sz w:val="22"/>
          <w:szCs w:val="22"/>
        </w:rPr>
        <w:t xml:space="preserve"> of the Development Approval, should </w:t>
      </w:r>
      <w:smartTag w:uri="urn:schemas-microsoft-com:office:smarttags" w:element="City">
        <w:smartTag w:uri="urn:schemas-microsoft-com:office:smarttags" w:element="place">
          <w:r w:rsidRPr="00935EBA">
            <w:rPr>
              <w:rFonts w:ascii="Arial" w:hAnsi="Arial" w:cs="Arial"/>
              <w:noProof/>
              <w:sz w:val="22"/>
              <w:szCs w:val="22"/>
            </w:rPr>
            <w:t>Brisbane</w:t>
          </w:r>
        </w:smartTag>
      </w:smartTag>
      <w:r w:rsidRPr="00935EBA">
        <w:rPr>
          <w:rFonts w:ascii="Arial" w:hAnsi="Arial" w:cs="Arial"/>
          <w:noProof/>
          <w:sz w:val="22"/>
          <w:szCs w:val="22"/>
        </w:rPr>
        <w:t xml:space="preserve">’s sporting clubs be phenomenally successful again, and to provide for the growing popularity of these sports for spectators across the country.  </w:t>
      </w:r>
    </w:p>
    <w:p w:rsidR="003226F9" w:rsidRPr="00935EBA" w:rsidRDefault="003226F9" w:rsidP="009B738A">
      <w:pPr>
        <w:numPr>
          <w:ilvl w:val="0"/>
          <w:numId w:val="2"/>
        </w:numPr>
        <w:tabs>
          <w:tab w:val="clear" w:pos="720"/>
          <w:tab w:val="num" w:pos="360"/>
        </w:tabs>
        <w:spacing w:before="240"/>
        <w:ind w:left="357" w:hanging="357"/>
        <w:jc w:val="both"/>
        <w:rPr>
          <w:rFonts w:ascii="Arial" w:hAnsi="Arial" w:cs="Arial"/>
          <w:noProof/>
          <w:sz w:val="22"/>
          <w:szCs w:val="22"/>
        </w:rPr>
      </w:pPr>
      <w:r w:rsidRPr="00935EBA">
        <w:rPr>
          <w:rFonts w:ascii="Arial" w:hAnsi="Arial" w:cs="Arial"/>
          <w:noProof/>
          <w:sz w:val="22"/>
          <w:szCs w:val="22"/>
          <w:u w:val="single"/>
        </w:rPr>
        <w:t>Cabinet approved</w:t>
      </w:r>
      <w:r w:rsidRPr="00935EBA">
        <w:rPr>
          <w:rFonts w:ascii="Arial" w:hAnsi="Arial" w:cs="Arial"/>
          <w:noProof/>
          <w:sz w:val="22"/>
          <w:szCs w:val="22"/>
        </w:rPr>
        <w:t xml:space="preserve"> </w:t>
      </w:r>
      <w:r w:rsidR="001F2DD8">
        <w:rPr>
          <w:rFonts w:ascii="Arial" w:hAnsi="Arial" w:cs="Arial"/>
          <w:noProof/>
          <w:sz w:val="22"/>
          <w:szCs w:val="22"/>
        </w:rPr>
        <w:t xml:space="preserve">that </w:t>
      </w:r>
      <w:r w:rsidR="003F074C" w:rsidRPr="00935EBA">
        <w:rPr>
          <w:rFonts w:ascii="Arial" w:hAnsi="Arial" w:cs="Arial"/>
          <w:noProof/>
          <w:sz w:val="22"/>
          <w:szCs w:val="22"/>
        </w:rPr>
        <w:t xml:space="preserve">the </w:t>
      </w:r>
      <w:r w:rsidR="0037622C" w:rsidRPr="00935EBA">
        <w:rPr>
          <w:rFonts w:ascii="Arial" w:hAnsi="Arial" w:cs="Arial"/>
          <w:noProof/>
          <w:sz w:val="22"/>
          <w:szCs w:val="22"/>
        </w:rPr>
        <w:t>Major Sports Facilities</w:t>
      </w:r>
      <w:r w:rsidR="009B738A" w:rsidRPr="00935EBA">
        <w:rPr>
          <w:rFonts w:ascii="Arial" w:hAnsi="Arial" w:cs="Arial"/>
          <w:noProof/>
          <w:sz w:val="22"/>
          <w:szCs w:val="22"/>
        </w:rPr>
        <w:t xml:space="preserve"> Amendment Bill 2011</w:t>
      </w:r>
      <w:r w:rsidR="00B139FC">
        <w:rPr>
          <w:rFonts w:ascii="Arial" w:hAnsi="Arial" w:cs="Arial"/>
          <w:noProof/>
          <w:sz w:val="22"/>
          <w:szCs w:val="22"/>
        </w:rPr>
        <w:t xml:space="preserve"> </w:t>
      </w:r>
      <w:r w:rsidR="009B738A" w:rsidRPr="00935EBA">
        <w:rPr>
          <w:rFonts w:ascii="Arial" w:hAnsi="Arial" w:cs="Arial"/>
          <w:noProof/>
          <w:sz w:val="22"/>
          <w:szCs w:val="22"/>
        </w:rPr>
        <w:t>be introduced into the Legislative Assembly</w:t>
      </w:r>
      <w:r w:rsidR="00872912" w:rsidRPr="00935EBA">
        <w:rPr>
          <w:rFonts w:ascii="Arial" w:hAnsi="Arial" w:cs="Arial"/>
          <w:noProof/>
          <w:sz w:val="22"/>
          <w:szCs w:val="22"/>
        </w:rPr>
        <w:t>.</w:t>
      </w:r>
    </w:p>
    <w:p w:rsidR="00872912" w:rsidRPr="001F2DD8" w:rsidRDefault="00872912" w:rsidP="001F2DD8">
      <w:pPr>
        <w:numPr>
          <w:ilvl w:val="0"/>
          <w:numId w:val="2"/>
        </w:numPr>
        <w:tabs>
          <w:tab w:val="clear" w:pos="720"/>
          <w:tab w:val="num" w:pos="360"/>
        </w:tabs>
        <w:spacing w:before="360"/>
        <w:ind w:left="357" w:hanging="357"/>
        <w:jc w:val="both"/>
        <w:rPr>
          <w:rFonts w:ascii="Arial" w:hAnsi="Arial" w:cs="Arial"/>
          <w:noProof/>
          <w:sz w:val="22"/>
          <w:szCs w:val="22"/>
        </w:rPr>
      </w:pPr>
      <w:r w:rsidRPr="00935EBA">
        <w:rPr>
          <w:rFonts w:ascii="Arial" w:hAnsi="Arial" w:cs="Arial"/>
          <w:i/>
          <w:noProof/>
          <w:sz w:val="22"/>
          <w:szCs w:val="22"/>
          <w:u w:val="single"/>
        </w:rPr>
        <w:t>Attachments</w:t>
      </w:r>
    </w:p>
    <w:p w:rsidR="005D7518" w:rsidRPr="00935EBA" w:rsidRDefault="001801C5" w:rsidP="001F2DD8">
      <w:pPr>
        <w:numPr>
          <w:ilvl w:val="0"/>
          <w:numId w:val="10"/>
        </w:numPr>
        <w:spacing w:before="120"/>
        <w:jc w:val="both"/>
        <w:rPr>
          <w:rFonts w:ascii="Arial" w:hAnsi="Arial" w:cs="Arial"/>
          <w:noProof/>
          <w:sz w:val="22"/>
          <w:szCs w:val="22"/>
        </w:rPr>
      </w:pPr>
      <w:hyperlink r:id="rId7" w:history="1">
        <w:r w:rsidR="0037622C" w:rsidRPr="001F2DD8">
          <w:rPr>
            <w:rStyle w:val="Hyperlink"/>
            <w:rFonts w:ascii="Arial" w:hAnsi="Arial" w:cs="Arial"/>
            <w:noProof/>
            <w:sz w:val="22"/>
            <w:szCs w:val="22"/>
          </w:rPr>
          <w:t>Major Sports Facilities</w:t>
        </w:r>
        <w:r w:rsidR="00954E2C" w:rsidRPr="001F2DD8">
          <w:rPr>
            <w:rStyle w:val="Hyperlink"/>
            <w:rFonts w:ascii="Arial" w:hAnsi="Arial" w:cs="Arial"/>
            <w:noProof/>
            <w:sz w:val="22"/>
            <w:szCs w:val="22"/>
          </w:rPr>
          <w:t xml:space="preserve"> Amendment Bill 2011</w:t>
        </w:r>
      </w:hyperlink>
    </w:p>
    <w:p w:rsidR="00C719FB" w:rsidRDefault="001801C5" w:rsidP="001F2DD8">
      <w:pPr>
        <w:numPr>
          <w:ilvl w:val="0"/>
          <w:numId w:val="10"/>
        </w:numPr>
        <w:spacing w:before="120"/>
        <w:jc w:val="both"/>
        <w:rPr>
          <w:rFonts w:ascii="Arial" w:hAnsi="Arial" w:cs="Arial"/>
          <w:noProof/>
          <w:sz w:val="22"/>
          <w:szCs w:val="22"/>
        </w:rPr>
      </w:pPr>
      <w:hyperlink r:id="rId8" w:history="1">
        <w:r w:rsidR="00954E2C" w:rsidRPr="001F2DD8">
          <w:rPr>
            <w:rStyle w:val="Hyperlink"/>
            <w:rFonts w:ascii="Arial" w:hAnsi="Arial" w:cs="Arial"/>
            <w:noProof/>
            <w:sz w:val="22"/>
            <w:szCs w:val="22"/>
          </w:rPr>
          <w:t>Explanatory Notes</w:t>
        </w:r>
      </w:hyperlink>
    </w:p>
    <w:sectPr w:rsidR="00C719FB" w:rsidSect="009A3763">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C9" w:rsidRDefault="00803BC9">
      <w:r>
        <w:separator/>
      </w:r>
    </w:p>
  </w:endnote>
  <w:endnote w:type="continuationSeparator" w:id="0">
    <w:p w:rsidR="00803BC9" w:rsidRDefault="0080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27" w:rsidRPr="001141E1" w:rsidRDefault="00202927" w:rsidP="00202927">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C9" w:rsidRDefault="00803BC9">
      <w:r>
        <w:separator/>
      </w:r>
    </w:p>
  </w:footnote>
  <w:footnote w:type="continuationSeparator" w:id="0">
    <w:p w:rsidR="00803BC9" w:rsidRDefault="0080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27" w:rsidRPr="000400F9" w:rsidRDefault="008666E6" w:rsidP="00202927">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02927" w:rsidRPr="000400F9">
      <w:rPr>
        <w:rFonts w:ascii="Arial" w:hAnsi="Arial" w:cs="Arial"/>
        <w:b/>
        <w:sz w:val="22"/>
        <w:szCs w:val="22"/>
        <w:u w:val="single"/>
      </w:rPr>
      <w:t xml:space="preserve">Cabinet – </w:t>
    </w:r>
    <w:r w:rsidR="00202927">
      <w:rPr>
        <w:rFonts w:ascii="Arial" w:hAnsi="Arial" w:cs="Arial"/>
        <w:b/>
        <w:sz w:val="22"/>
        <w:szCs w:val="22"/>
        <w:u w:val="single"/>
      </w:rPr>
      <w:t>month year</w:t>
    </w:r>
  </w:p>
  <w:p w:rsidR="00202927" w:rsidRDefault="00202927" w:rsidP="00202927">
    <w:pPr>
      <w:pStyle w:val="Header"/>
      <w:spacing w:before="120"/>
      <w:rPr>
        <w:rFonts w:ascii="Arial" w:hAnsi="Arial" w:cs="Arial"/>
        <w:b/>
        <w:sz w:val="22"/>
        <w:szCs w:val="22"/>
        <w:u w:val="single"/>
      </w:rPr>
    </w:pPr>
    <w:r>
      <w:rPr>
        <w:rFonts w:ascii="Arial" w:hAnsi="Arial" w:cs="Arial"/>
        <w:b/>
        <w:sz w:val="22"/>
        <w:szCs w:val="22"/>
        <w:u w:val="single"/>
      </w:rPr>
      <w:t>submission subject</w:t>
    </w:r>
  </w:p>
  <w:p w:rsidR="00202927" w:rsidRDefault="00202927" w:rsidP="00202927">
    <w:pPr>
      <w:pStyle w:val="Header"/>
      <w:spacing w:before="120"/>
      <w:rPr>
        <w:rFonts w:ascii="Arial" w:hAnsi="Arial" w:cs="Arial"/>
        <w:b/>
        <w:sz w:val="22"/>
        <w:szCs w:val="22"/>
        <w:u w:val="single"/>
      </w:rPr>
    </w:pPr>
    <w:r>
      <w:rPr>
        <w:rFonts w:ascii="Arial" w:hAnsi="Arial" w:cs="Arial"/>
        <w:b/>
        <w:sz w:val="22"/>
        <w:szCs w:val="22"/>
        <w:u w:val="single"/>
      </w:rPr>
      <w:t>Minister/s title</w:t>
    </w:r>
  </w:p>
  <w:p w:rsidR="00202927" w:rsidRPr="00F10DF9" w:rsidRDefault="00202927" w:rsidP="00202927">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27" w:rsidRDefault="008666E6" w:rsidP="005D7518">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02927" w:rsidRPr="00C21B79">
      <w:rPr>
        <w:rFonts w:ascii="Arial" w:hAnsi="Arial" w:cs="Arial"/>
        <w:b/>
        <w:sz w:val="22"/>
        <w:szCs w:val="22"/>
        <w:u w:val="single"/>
      </w:rPr>
      <w:t xml:space="preserve">Cabinet – </w:t>
    </w:r>
    <w:r w:rsidR="00162979">
      <w:rPr>
        <w:rFonts w:ascii="Arial" w:hAnsi="Arial" w:cs="Arial"/>
        <w:b/>
        <w:sz w:val="22"/>
        <w:szCs w:val="22"/>
        <w:u w:val="single"/>
      </w:rPr>
      <w:t xml:space="preserve">August </w:t>
    </w:r>
    <w:r w:rsidR="00202927" w:rsidRPr="00C21B79">
      <w:rPr>
        <w:rFonts w:ascii="Arial" w:hAnsi="Arial" w:cs="Arial"/>
        <w:b/>
        <w:sz w:val="22"/>
        <w:szCs w:val="22"/>
        <w:u w:val="single"/>
      </w:rPr>
      <w:t>20</w:t>
    </w:r>
    <w:r w:rsidR="00162979">
      <w:rPr>
        <w:rFonts w:ascii="Arial" w:hAnsi="Arial" w:cs="Arial"/>
        <w:b/>
        <w:sz w:val="22"/>
        <w:szCs w:val="22"/>
        <w:u w:val="single"/>
      </w:rPr>
      <w:t>11</w:t>
    </w:r>
  </w:p>
  <w:p w:rsidR="005D7518" w:rsidRPr="001F2DD8" w:rsidRDefault="005D7518" w:rsidP="005D7518">
    <w:pPr>
      <w:pStyle w:val="Header"/>
      <w:ind w:firstLine="2880"/>
      <w:rPr>
        <w:rFonts w:ascii="Arial" w:hAnsi="Arial" w:cs="Arial"/>
        <w:b/>
        <w:sz w:val="12"/>
        <w:szCs w:val="22"/>
        <w:u w:val="single"/>
      </w:rPr>
    </w:pPr>
  </w:p>
  <w:p w:rsidR="005D7518" w:rsidRDefault="0037622C" w:rsidP="005D7518">
    <w:pPr>
      <w:pStyle w:val="Header"/>
      <w:rPr>
        <w:rFonts w:ascii="Arial" w:hAnsi="Arial" w:cs="Arial"/>
        <w:b/>
        <w:sz w:val="22"/>
        <w:szCs w:val="22"/>
        <w:u w:val="single"/>
      </w:rPr>
    </w:pPr>
    <w:r>
      <w:rPr>
        <w:rFonts w:ascii="Arial" w:hAnsi="Arial" w:cs="Arial"/>
        <w:b/>
        <w:sz w:val="22"/>
        <w:szCs w:val="22"/>
        <w:u w:val="single"/>
      </w:rPr>
      <w:t>Major Sports Facilities Amendment</w:t>
    </w:r>
    <w:r w:rsidR="00162979" w:rsidRPr="00162979">
      <w:rPr>
        <w:rFonts w:ascii="Arial" w:hAnsi="Arial" w:cs="Arial"/>
        <w:b/>
        <w:sz w:val="22"/>
        <w:szCs w:val="22"/>
        <w:u w:val="single"/>
      </w:rPr>
      <w:t xml:space="preserve"> Bill 2011</w:t>
    </w:r>
  </w:p>
  <w:p w:rsidR="00935EBA" w:rsidRPr="001F2DD8" w:rsidRDefault="00935EBA" w:rsidP="005D7518">
    <w:pPr>
      <w:pStyle w:val="Header"/>
      <w:rPr>
        <w:rFonts w:ascii="Arial" w:hAnsi="Arial" w:cs="Arial"/>
        <w:b/>
        <w:sz w:val="12"/>
        <w:szCs w:val="22"/>
        <w:u w:val="single"/>
      </w:rPr>
    </w:pPr>
  </w:p>
  <w:p w:rsidR="00202927" w:rsidRPr="00290A0F" w:rsidRDefault="00202927" w:rsidP="005D7518">
    <w:pPr>
      <w:pStyle w:val="Header"/>
      <w:rPr>
        <w:rFonts w:ascii="Arial" w:hAnsi="Arial" w:cs="Arial"/>
        <w:b/>
        <w:sz w:val="22"/>
        <w:szCs w:val="22"/>
        <w:u w:val="single"/>
      </w:rPr>
    </w:pPr>
    <w:r w:rsidRPr="00290A0F">
      <w:rPr>
        <w:rFonts w:ascii="Arial" w:hAnsi="Arial" w:cs="Arial"/>
        <w:b/>
        <w:sz w:val="22"/>
        <w:szCs w:val="22"/>
        <w:u w:val="single"/>
      </w:rPr>
      <w:t>Minister for Child Safety and Minister for Sport</w:t>
    </w:r>
  </w:p>
  <w:p w:rsidR="00202927" w:rsidRPr="00F10DF9" w:rsidRDefault="00202927" w:rsidP="00202927">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D26"/>
    <w:multiLevelType w:val="hybridMultilevel"/>
    <w:tmpl w:val="22AA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D7FA1"/>
    <w:multiLevelType w:val="hybridMultilevel"/>
    <w:tmpl w:val="15A23F9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47CCB"/>
    <w:multiLevelType w:val="hybridMultilevel"/>
    <w:tmpl w:val="A4FA8C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B6A681B"/>
    <w:multiLevelType w:val="hybridMultilevel"/>
    <w:tmpl w:val="564894F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12D6E1F"/>
    <w:multiLevelType w:val="hybridMultilevel"/>
    <w:tmpl w:val="3E3CDF78"/>
    <w:lvl w:ilvl="0" w:tplc="0C09000F">
      <w:start w:val="1"/>
      <w:numFmt w:val="decimal"/>
      <w:lvlText w:val="%1."/>
      <w:lvlJc w:val="left"/>
      <w:pPr>
        <w:tabs>
          <w:tab w:val="num" w:pos="5606"/>
        </w:tabs>
        <w:ind w:left="5606" w:hanging="360"/>
      </w:pPr>
    </w:lvl>
    <w:lvl w:ilvl="1" w:tplc="9F4CC468">
      <w:start w:val="1"/>
      <w:numFmt w:val="lowerLetter"/>
      <w:lvlText w:val="%2."/>
      <w:lvlJc w:val="left"/>
      <w:pPr>
        <w:tabs>
          <w:tab w:val="num" w:pos="6326"/>
        </w:tabs>
        <w:ind w:left="6326" w:hanging="360"/>
      </w:pPr>
      <w:rPr>
        <w:rFonts w:eastAsia="PMingLiU" w:cs="Arial" w:hint="default"/>
        <w:color w:val="000000"/>
      </w:rPr>
    </w:lvl>
    <w:lvl w:ilvl="2" w:tplc="A2842162">
      <w:start w:val="1"/>
      <w:numFmt w:val="lowerRoman"/>
      <w:lvlText w:val="(%3)"/>
      <w:lvlJc w:val="left"/>
      <w:pPr>
        <w:tabs>
          <w:tab w:val="num" w:pos="7586"/>
        </w:tabs>
        <w:ind w:left="7586" w:hanging="720"/>
      </w:pPr>
      <w:rPr>
        <w:rFonts w:hint="default"/>
      </w:rPr>
    </w:lvl>
    <w:lvl w:ilvl="3" w:tplc="0C09000F" w:tentative="1">
      <w:start w:val="1"/>
      <w:numFmt w:val="decimal"/>
      <w:lvlText w:val="%4."/>
      <w:lvlJc w:val="left"/>
      <w:pPr>
        <w:tabs>
          <w:tab w:val="num" w:pos="7766"/>
        </w:tabs>
        <w:ind w:left="7766" w:hanging="360"/>
      </w:pPr>
    </w:lvl>
    <w:lvl w:ilvl="4" w:tplc="0C090019" w:tentative="1">
      <w:start w:val="1"/>
      <w:numFmt w:val="lowerLetter"/>
      <w:lvlText w:val="%5."/>
      <w:lvlJc w:val="left"/>
      <w:pPr>
        <w:tabs>
          <w:tab w:val="num" w:pos="8486"/>
        </w:tabs>
        <w:ind w:left="8486" w:hanging="360"/>
      </w:pPr>
    </w:lvl>
    <w:lvl w:ilvl="5" w:tplc="0C09001B" w:tentative="1">
      <w:start w:val="1"/>
      <w:numFmt w:val="lowerRoman"/>
      <w:lvlText w:val="%6."/>
      <w:lvlJc w:val="right"/>
      <w:pPr>
        <w:tabs>
          <w:tab w:val="num" w:pos="9206"/>
        </w:tabs>
        <w:ind w:left="9206" w:hanging="180"/>
      </w:pPr>
    </w:lvl>
    <w:lvl w:ilvl="6" w:tplc="0C09000F" w:tentative="1">
      <w:start w:val="1"/>
      <w:numFmt w:val="decimal"/>
      <w:lvlText w:val="%7."/>
      <w:lvlJc w:val="left"/>
      <w:pPr>
        <w:tabs>
          <w:tab w:val="num" w:pos="9926"/>
        </w:tabs>
        <w:ind w:left="9926" w:hanging="360"/>
      </w:pPr>
    </w:lvl>
    <w:lvl w:ilvl="7" w:tplc="0C090019" w:tentative="1">
      <w:start w:val="1"/>
      <w:numFmt w:val="lowerLetter"/>
      <w:lvlText w:val="%8."/>
      <w:lvlJc w:val="left"/>
      <w:pPr>
        <w:tabs>
          <w:tab w:val="num" w:pos="10646"/>
        </w:tabs>
        <w:ind w:left="10646" w:hanging="360"/>
      </w:pPr>
    </w:lvl>
    <w:lvl w:ilvl="8" w:tplc="0C09001B" w:tentative="1">
      <w:start w:val="1"/>
      <w:numFmt w:val="lowerRoman"/>
      <w:lvlText w:val="%9."/>
      <w:lvlJc w:val="right"/>
      <w:pPr>
        <w:tabs>
          <w:tab w:val="num" w:pos="11366"/>
        </w:tabs>
        <w:ind w:left="11366" w:hanging="180"/>
      </w:pPr>
    </w:lvl>
  </w:abstractNum>
  <w:abstractNum w:abstractNumId="6" w15:restartNumberingAfterBreak="0">
    <w:nsid w:val="515B611C"/>
    <w:multiLevelType w:val="hybridMultilevel"/>
    <w:tmpl w:val="9674520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A0BED"/>
    <w:multiLevelType w:val="hybridMultilevel"/>
    <w:tmpl w:val="43AC7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D231568"/>
    <w:multiLevelType w:val="hybridMultilevel"/>
    <w:tmpl w:val="F31030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5"/>
  </w:num>
  <w:num w:numId="5">
    <w:abstractNumId w:val="6"/>
  </w:num>
  <w:num w:numId="6">
    <w:abstractNumId w:val="1"/>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E"/>
    <w:rsid w:val="0001446B"/>
    <w:rsid w:val="00040242"/>
    <w:rsid w:val="00076719"/>
    <w:rsid w:val="000C0875"/>
    <w:rsid w:val="000C4B2A"/>
    <w:rsid w:val="001250C3"/>
    <w:rsid w:val="001461F9"/>
    <w:rsid w:val="00162979"/>
    <w:rsid w:val="00173D37"/>
    <w:rsid w:val="001801C5"/>
    <w:rsid w:val="001D6305"/>
    <w:rsid w:val="001E04D0"/>
    <w:rsid w:val="001F2DD8"/>
    <w:rsid w:val="00202927"/>
    <w:rsid w:val="002423F2"/>
    <w:rsid w:val="00245C14"/>
    <w:rsid w:val="002672BF"/>
    <w:rsid w:val="00290A0F"/>
    <w:rsid w:val="002B7E46"/>
    <w:rsid w:val="002D53FC"/>
    <w:rsid w:val="002E5F67"/>
    <w:rsid w:val="003226F9"/>
    <w:rsid w:val="00326BDF"/>
    <w:rsid w:val="0037622C"/>
    <w:rsid w:val="00377C6D"/>
    <w:rsid w:val="00386172"/>
    <w:rsid w:val="003F074C"/>
    <w:rsid w:val="00465236"/>
    <w:rsid w:val="004B6450"/>
    <w:rsid w:val="004D348C"/>
    <w:rsid w:val="00524A9C"/>
    <w:rsid w:val="005345BF"/>
    <w:rsid w:val="005759D7"/>
    <w:rsid w:val="005B6B38"/>
    <w:rsid w:val="005D5175"/>
    <w:rsid w:val="005D7518"/>
    <w:rsid w:val="005E2D26"/>
    <w:rsid w:val="005F037A"/>
    <w:rsid w:val="00625D95"/>
    <w:rsid w:val="006473AE"/>
    <w:rsid w:val="0069003C"/>
    <w:rsid w:val="00695CAA"/>
    <w:rsid w:val="006C76E7"/>
    <w:rsid w:val="006F24AB"/>
    <w:rsid w:val="006F71E0"/>
    <w:rsid w:val="00732802"/>
    <w:rsid w:val="00786528"/>
    <w:rsid w:val="007905BE"/>
    <w:rsid w:val="00792C8E"/>
    <w:rsid w:val="007B0D7D"/>
    <w:rsid w:val="007B6A2D"/>
    <w:rsid w:val="007C4BF3"/>
    <w:rsid w:val="007D3490"/>
    <w:rsid w:val="007F7084"/>
    <w:rsid w:val="00803BC9"/>
    <w:rsid w:val="00832E48"/>
    <w:rsid w:val="00853247"/>
    <w:rsid w:val="008666E6"/>
    <w:rsid w:val="0087258C"/>
    <w:rsid w:val="00872912"/>
    <w:rsid w:val="008843A9"/>
    <w:rsid w:val="008A3F5C"/>
    <w:rsid w:val="009023F7"/>
    <w:rsid w:val="00935EBA"/>
    <w:rsid w:val="00954E2C"/>
    <w:rsid w:val="009577E4"/>
    <w:rsid w:val="0098591B"/>
    <w:rsid w:val="0099621E"/>
    <w:rsid w:val="009A3763"/>
    <w:rsid w:val="009B738A"/>
    <w:rsid w:val="009C0AFE"/>
    <w:rsid w:val="009C63EA"/>
    <w:rsid w:val="00A20E9C"/>
    <w:rsid w:val="00A9193C"/>
    <w:rsid w:val="00AB4C20"/>
    <w:rsid w:val="00AB6929"/>
    <w:rsid w:val="00B139FC"/>
    <w:rsid w:val="00B437F4"/>
    <w:rsid w:val="00B4699F"/>
    <w:rsid w:val="00BD56BB"/>
    <w:rsid w:val="00C719FB"/>
    <w:rsid w:val="00C8232F"/>
    <w:rsid w:val="00CF7F96"/>
    <w:rsid w:val="00D05CA2"/>
    <w:rsid w:val="00D17AAB"/>
    <w:rsid w:val="00D47EE4"/>
    <w:rsid w:val="00DE2A0D"/>
    <w:rsid w:val="00E32DD1"/>
    <w:rsid w:val="00E7267B"/>
    <w:rsid w:val="00EB772C"/>
    <w:rsid w:val="00ED434D"/>
    <w:rsid w:val="00EE4874"/>
    <w:rsid w:val="00EF0AB5"/>
    <w:rsid w:val="00F1791E"/>
    <w:rsid w:val="00FA089B"/>
    <w:rsid w:val="00FD1B17"/>
    <w:rsid w:val="00FD745A"/>
    <w:rsid w:val="00FE7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21E"/>
    <w:pPr>
      <w:tabs>
        <w:tab w:val="center" w:pos="4153"/>
        <w:tab w:val="right" w:pos="8306"/>
      </w:tabs>
    </w:pPr>
    <w:rPr>
      <w:color w:val="auto"/>
    </w:rPr>
  </w:style>
  <w:style w:type="character" w:styleId="PageNumber">
    <w:name w:val="page number"/>
    <w:basedOn w:val="DefaultParagraphFont"/>
    <w:rsid w:val="0099621E"/>
  </w:style>
  <w:style w:type="paragraph" w:styleId="Footer">
    <w:name w:val="footer"/>
    <w:basedOn w:val="Normal"/>
    <w:rsid w:val="0099621E"/>
    <w:pPr>
      <w:tabs>
        <w:tab w:val="center" w:pos="4153"/>
        <w:tab w:val="right" w:pos="8306"/>
      </w:tabs>
    </w:pPr>
  </w:style>
  <w:style w:type="paragraph" w:styleId="BalloonText">
    <w:name w:val="Balloon Text"/>
    <w:basedOn w:val="Normal"/>
    <w:semiHidden/>
    <w:rsid w:val="002D53FC"/>
    <w:rPr>
      <w:rFonts w:ascii="Tahoma" w:hAnsi="Tahoma" w:cs="Tahoma"/>
      <w:sz w:val="16"/>
      <w:szCs w:val="16"/>
    </w:rPr>
  </w:style>
  <w:style w:type="character" w:styleId="CommentReference">
    <w:name w:val="annotation reference"/>
    <w:basedOn w:val="DefaultParagraphFont"/>
    <w:semiHidden/>
    <w:rsid w:val="00AB4C20"/>
    <w:rPr>
      <w:sz w:val="16"/>
      <w:szCs w:val="16"/>
    </w:rPr>
  </w:style>
  <w:style w:type="paragraph" w:styleId="CommentText">
    <w:name w:val="annotation text"/>
    <w:basedOn w:val="Normal"/>
    <w:semiHidden/>
    <w:rsid w:val="00AB4C20"/>
    <w:rPr>
      <w:sz w:val="20"/>
    </w:rPr>
  </w:style>
  <w:style w:type="paragraph" w:styleId="CommentSubject">
    <w:name w:val="annotation subject"/>
    <w:basedOn w:val="CommentText"/>
    <w:next w:val="CommentText"/>
    <w:semiHidden/>
    <w:rsid w:val="00AB4C20"/>
    <w:rPr>
      <w:b/>
      <w:bCs/>
    </w:rPr>
  </w:style>
  <w:style w:type="character" w:styleId="Hyperlink">
    <w:name w:val="Hyperlink"/>
    <w:basedOn w:val="DefaultParagraphFont"/>
    <w:rsid w:val="001F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1173</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1393</CharactersWithSpaces>
  <SharedDoc>false</SharedDoc>
  <HyperlinkBase>https://www.cabinet.qld.gov.au/documents/2011/Aug/Major Sports Facilities Bill/</HyperlinkBase>
  <HLinks>
    <vt:vector size="12" baseType="variant">
      <vt:variant>
        <vt:i4>4587538</vt:i4>
      </vt:variant>
      <vt:variant>
        <vt:i4>3</vt:i4>
      </vt:variant>
      <vt:variant>
        <vt:i4>0</vt:i4>
      </vt:variant>
      <vt:variant>
        <vt:i4>5</vt:i4>
      </vt:variant>
      <vt:variant>
        <vt:lpwstr>Attachments/Explan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2011-08-16T06:53:00Z</cp:lastPrinted>
  <dcterms:created xsi:type="dcterms:W3CDTF">2017-10-24T23:05:00Z</dcterms:created>
  <dcterms:modified xsi:type="dcterms:W3CDTF">2018-03-06T01:07:00Z</dcterms:modified>
  <cp:category>Legislation,Sport,Events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